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879F" w14:textId="40A2AB97" w:rsidR="00E96188" w:rsidRPr="00E96188" w:rsidRDefault="00E96188" w:rsidP="00E96188">
      <w:pPr>
        <w:jc w:val="center"/>
        <w:rPr>
          <w:b/>
          <w:bCs/>
          <w:color w:val="4472C4" w:themeColor="accent1"/>
          <w:sz w:val="56"/>
          <w:szCs w:val="56"/>
          <w:u w:val="single"/>
        </w:rPr>
      </w:pPr>
      <w:r w:rsidRPr="00E96188">
        <w:rPr>
          <w:b/>
          <w:bCs/>
          <w:noProof/>
          <w:color w:val="7030A0"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 wp14:anchorId="7361698E" wp14:editId="7FE73683">
            <wp:simplePos x="0" y="0"/>
            <wp:positionH relativeFrom="column">
              <wp:posOffset>8757598</wp:posOffset>
            </wp:positionH>
            <wp:positionV relativeFrom="paragraph">
              <wp:posOffset>-244475</wp:posOffset>
            </wp:positionV>
            <wp:extent cx="1003682" cy="1270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82" cy="127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188">
        <w:rPr>
          <w:b/>
          <w:bCs/>
          <w:color w:val="7030A0"/>
          <w:sz w:val="56"/>
          <w:szCs w:val="56"/>
          <w:u w:val="single"/>
        </w:rPr>
        <w:t>STRATEGIC PRIORITIES 202</w:t>
      </w:r>
      <w:r w:rsidR="00B2386F">
        <w:rPr>
          <w:b/>
          <w:bCs/>
          <w:color w:val="7030A0"/>
          <w:sz w:val="56"/>
          <w:szCs w:val="56"/>
          <w:u w:val="single"/>
        </w:rPr>
        <w:t>4/25</w:t>
      </w:r>
    </w:p>
    <w:p w14:paraId="523CABB6" w14:textId="77777777" w:rsidR="00E96188" w:rsidRPr="00D746AB" w:rsidRDefault="00E96188" w:rsidP="00E96188">
      <w:pPr>
        <w:ind w:left="720" w:firstLine="720"/>
        <w:rPr>
          <w:b/>
          <w:bCs/>
          <w:color w:val="7030A0"/>
          <w:sz w:val="16"/>
          <w:szCs w:val="16"/>
        </w:rPr>
      </w:pPr>
    </w:p>
    <w:p w14:paraId="7C9453DC" w14:textId="77777777" w:rsidR="00E96188" w:rsidRDefault="00E96188" w:rsidP="00E96188">
      <w:pPr>
        <w:ind w:left="3600" w:hanging="3600"/>
        <w:rPr>
          <w:color w:val="7030A0"/>
          <w:sz w:val="40"/>
          <w:szCs w:val="40"/>
        </w:rPr>
      </w:pPr>
      <w:r>
        <w:rPr>
          <w:b/>
          <w:bCs/>
          <w:color w:val="7030A0"/>
          <w:sz w:val="44"/>
          <w:szCs w:val="44"/>
        </w:rPr>
        <w:t xml:space="preserve">OUR VISION – </w:t>
      </w:r>
      <w:r>
        <w:rPr>
          <w:b/>
          <w:bCs/>
          <w:color w:val="7030A0"/>
          <w:sz w:val="44"/>
          <w:szCs w:val="44"/>
        </w:rPr>
        <w:tab/>
      </w:r>
      <w:proofErr w:type="spellStart"/>
      <w:r>
        <w:rPr>
          <w:color w:val="7030A0"/>
          <w:sz w:val="40"/>
          <w:szCs w:val="40"/>
        </w:rPr>
        <w:t>Poipoia</w:t>
      </w:r>
      <w:proofErr w:type="spellEnd"/>
      <w:r>
        <w:rPr>
          <w:color w:val="7030A0"/>
          <w:sz w:val="40"/>
          <w:szCs w:val="40"/>
        </w:rPr>
        <w:t xml:space="preserve"> </w:t>
      </w:r>
      <w:proofErr w:type="spellStart"/>
      <w:r>
        <w:rPr>
          <w:color w:val="7030A0"/>
          <w:sz w:val="40"/>
          <w:szCs w:val="40"/>
        </w:rPr>
        <w:t>te</w:t>
      </w:r>
      <w:proofErr w:type="spellEnd"/>
      <w:r>
        <w:rPr>
          <w:color w:val="7030A0"/>
          <w:sz w:val="40"/>
          <w:szCs w:val="40"/>
        </w:rPr>
        <w:t xml:space="preserve"> </w:t>
      </w:r>
      <w:proofErr w:type="spellStart"/>
      <w:r>
        <w:rPr>
          <w:color w:val="7030A0"/>
          <w:sz w:val="40"/>
          <w:szCs w:val="40"/>
        </w:rPr>
        <w:t>kakano</w:t>
      </w:r>
      <w:proofErr w:type="spellEnd"/>
      <w:r>
        <w:rPr>
          <w:color w:val="7030A0"/>
          <w:sz w:val="40"/>
          <w:szCs w:val="40"/>
        </w:rPr>
        <w:t xml:space="preserve"> kia </w:t>
      </w:r>
      <w:proofErr w:type="spellStart"/>
      <w:r>
        <w:rPr>
          <w:color w:val="7030A0"/>
          <w:sz w:val="40"/>
          <w:szCs w:val="40"/>
        </w:rPr>
        <w:t>puawai</w:t>
      </w:r>
      <w:proofErr w:type="spellEnd"/>
      <w:r>
        <w:rPr>
          <w:color w:val="7030A0"/>
          <w:sz w:val="40"/>
          <w:szCs w:val="40"/>
        </w:rPr>
        <w:t>,</w:t>
      </w:r>
    </w:p>
    <w:p w14:paraId="61620A98" w14:textId="77777777" w:rsidR="00E96188" w:rsidRPr="00D746AB" w:rsidRDefault="00E96188" w:rsidP="00E96188">
      <w:pPr>
        <w:ind w:left="3600"/>
        <w:rPr>
          <w:color w:val="7030A0"/>
          <w:sz w:val="40"/>
          <w:szCs w:val="40"/>
        </w:rPr>
      </w:pPr>
      <w:proofErr w:type="spellStart"/>
      <w:r>
        <w:rPr>
          <w:color w:val="7030A0"/>
          <w:sz w:val="40"/>
          <w:szCs w:val="40"/>
        </w:rPr>
        <w:t>Nuture</w:t>
      </w:r>
      <w:proofErr w:type="spellEnd"/>
      <w:r>
        <w:rPr>
          <w:color w:val="7030A0"/>
          <w:sz w:val="40"/>
          <w:szCs w:val="40"/>
        </w:rPr>
        <w:t xml:space="preserve"> the seed and it will blossom.</w:t>
      </w:r>
    </w:p>
    <w:p w14:paraId="093D43D0" w14:textId="77777777" w:rsidR="00E96188" w:rsidRPr="00D746AB" w:rsidRDefault="00E96188" w:rsidP="00E96188">
      <w:pPr>
        <w:ind w:left="720" w:firstLine="720"/>
        <w:rPr>
          <w:b/>
          <w:bCs/>
          <w:color w:val="7030A0"/>
          <w:sz w:val="16"/>
          <w:szCs w:val="16"/>
        </w:rPr>
      </w:pPr>
    </w:p>
    <w:p w14:paraId="7581FDDE" w14:textId="7878C020" w:rsidR="002E346A" w:rsidRPr="00E96188" w:rsidRDefault="00E96188" w:rsidP="00E96188">
      <w:pPr>
        <w:ind w:left="3600" w:hanging="3600"/>
        <w:rPr>
          <w:color w:val="7030A0"/>
          <w:sz w:val="40"/>
          <w:szCs w:val="40"/>
        </w:rPr>
      </w:pPr>
      <w:r>
        <w:rPr>
          <w:b/>
          <w:bCs/>
          <w:color w:val="7030A0"/>
          <w:sz w:val="44"/>
          <w:szCs w:val="44"/>
        </w:rPr>
        <w:t xml:space="preserve">OUR MISSION – </w:t>
      </w:r>
      <w:r>
        <w:rPr>
          <w:b/>
          <w:bCs/>
          <w:color w:val="7030A0"/>
          <w:sz w:val="44"/>
          <w:szCs w:val="44"/>
        </w:rPr>
        <w:tab/>
      </w:r>
      <w:r>
        <w:rPr>
          <w:color w:val="7030A0"/>
          <w:sz w:val="40"/>
          <w:szCs w:val="40"/>
        </w:rPr>
        <w:t>Within a caring, supportive and collaborative learning community we are committed to growing great people.</w:t>
      </w:r>
    </w:p>
    <w:p w14:paraId="3EF0A729" w14:textId="6A3EF2C7" w:rsidR="00E96188" w:rsidRDefault="00E96188">
      <w:r>
        <w:rPr>
          <w:noProof/>
        </w:rPr>
        <w:drawing>
          <wp:anchor distT="0" distB="0" distL="114300" distR="114300" simplePos="0" relativeHeight="251660288" behindDoc="0" locked="0" layoutInCell="1" allowOverlap="1" wp14:anchorId="37EF031C" wp14:editId="3B71693D">
            <wp:simplePos x="0" y="0"/>
            <wp:positionH relativeFrom="column">
              <wp:posOffset>6020435</wp:posOffset>
            </wp:positionH>
            <wp:positionV relativeFrom="paragraph">
              <wp:posOffset>115490</wp:posOffset>
            </wp:positionV>
            <wp:extent cx="615950" cy="734060"/>
            <wp:effectExtent l="0" t="0" r="6350" b="2540"/>
            <wp:wrapNone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E5A465" wp14:editId="4B72E298">
            <wp:simplePos x="0" y="0"/>
            <wp:positionH relativeFrom="column">
              <wp:posOffset>1447997</wp:posOffset>
            </wp:positionH>
            <wp:positionV relativeFrom="paragraph">
              <wp:posOffset>115416</wp:posOffset>
            </wp:positionV>
            <wp:extent cx="681153" cy="785611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53" cy="78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44FC2C" wp14:editId="43BFBC29">
            <wp:simplePos x="0" y="0"/>
            <wp:positionH relativeFrom="column">
              <wp:posOffset>8206231</wp:posOffset>
            </wp:positionH>
            <wp:positionV relativeFrom="paragraph">
              <wp:posOffset>76779</wp:posOffset>
            </wp:positionV>
            <wp:extent cx="828658" cy="82424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58" cy="82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A5F664" wp14:editId="4C42B9FF">
            <wp:simplePos x="0" y="0"/>
            <wp:positionH relativeFrom="column">
              <wp:posOffset>3701907</wp:posOffset>
            </wp:positionH>
            <wp:positionV relativeFrom="paragraph">
              <wp:posOffset>140970</wp:posOffset>
            </wp:positionV>
            <wp:extent cx="759854" cy="759854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54" cy="75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527BB" w14:textId="2BC80E18" w:rsidR="00E96188" w:rsidRDefault="00E96188"/>
    <w:p w14:paraId="66B6AE9A" w14:textId="0858B3C4" w:rsidR="00E96188" w:rsidRDefault="00E96188"/>
    <w:p w14:paraId="001A0198" w14:textId="4000B14B" w:rsidR="00E96188" w:rsidRDefault="00E96188">
      <w:r>
        <w:tab/>
      </w:r>
      <w:r>
        <w:tab/>
      </w: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8"/>
        <w:gridCol w:w="3600"/>
        <w:gridCol w:w="3600"/>
        <w:gridCol w:w="3600"/>
        <w:gridCol w:w="3600"/>
      </w:tblGrid>
      <w:tr w:rsidR="00E96188" w14:paraId="2F1E4684" w14:textId="77777777" w:rsidTr="00E96188">
        <w:trPr>
          <w:cantSplit/>
          <w:trHeight w:val="1134"/>
        </w:trPr>
        <w:tc>
          <w:tcPr>
            <w:tcW w:w="988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52A41D7" w14:textId="77777777" w:rsidR="00E96188" w:rsidRDefault="00E96188" w:rsidP="00E96188">
            <w:pPr>
              <w:ind w:left="113" w:right="113"/>
              <w:jc w:val="center"/>
            </w:pP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012CADC0" w14:textId="2C01FF88" w:rsidR="00E96188" w:rsidRPr="00E96188" w:rsidRDefault="00B2386F" w:rsidP="00E96188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TAUIRA (</w:t>
            </w:r>
            <w:r w:rsidR="00E96188" w:rsidRPr="00E96188">
              <w:rPr>
                <w:b/>
                <w:bCs/>
                <w:color w:val="7030A0"/>
                <w:sz w:val="32"/>
                <w:szCs w:val="32"/>
              </w:rPr>
              <w:t>STUDENTS</w:t>
            </w:r>
            <w:r>
              <w:rPr>
                <w:b/>
                <w:bCs/>
                <w:color w:val="7030A0"/>
                <w:sz w:val="32"/>
                <w:szCs w:val="32"/>
              </w:rPr>
              <w:t>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2A124DA8" w14:textId="0308C26F" w:rsidR="00E96188" w:rsidRPr="00E96188" w:rsidRDefault="00B2386F" w:rsidP="00E96188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KAIAKO (</w:t>
            </w:r>
            <w:r w:rsidR="00E96188" w:rsidRPr="00E96188">
              <w:rPr>
                <w:b/>
                <w:bCs/>
                <w:color w:val="7030A0"/>
                <w:sz w:val="32"/>
                <w:szCs w:val="32"/>
              </w:rPr>
              <w:t>STAFF</w:t>
            </w:r>
            <w:r>
              <w:rPr>
                <w:b/>
                <w:bCs/>
                <w:color w:val="7030A0"/>
                <w:sz w:val="32"/>
                <w:szCs w:val="32"/>
              </w:rPr>
              <w:t>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1B39F4A3" w14:textId="5B7B4034" w:rsidR="00E96188" w:rsidRPr="00E96188" w:rsidRDefault="00B2386F" w:rsidP="00E96188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KURA (</w:t>
            </w:r>
            <w:r w:rsidR="00E96188" w:rsidRPr="00E96188">
              <w:rPr>
                <w:b/>
                <w:bCs/>
                <w:color w:val="7030A0"/>
                <w:sz w:val="32"/>
                <w:szCs w:val="32"/>
              </w:rPr>
              <w:t>SCHOOL</w:t>
            </w:r>
            <w:r>
              <w:rPr>
                <w:b/>
                <w:bCs/>
                <w:color w:val="7030A0"/>
                <w:sz w:val="32"/>
                <w:szCs w:val="32"/>
              </w:rPr>
              <w:t>)</w: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14:paraId="196ABE96" w14:textId="015A54F1" w:rsidR="00E96188" w:rsidRPr="00E96188" w:rsidRDefault="00B2386F" w:rsidP="00E96188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HAPORI (</w:t>
            </w:r>
            <w:r w:rsidR="00E96188" w:rsidRPr="00E96188">
              <w:rPr>
                <w:b/>
                <w:bCs/>
                <w:color w:val="7030A0"/>
                <w:sz w:val="32"/>
                <w:szCs w:val="32"/>
              </w:rPr>
              <w:t>COMMUNITY</w:t>
            </w:r>
            <w:r>
              <w:rPr>
                <w:b/>
                <w:bCs/>
                <w:color w:val="7030A0"/>
                <w:sz w:val="32"/>
                <w:szCs w:val="32"/>
              </w:rPr>
              <w:t>)</w:t>
            </w:r>
          </w:p>
        </w:tc>
      </w:tr>
      <w:tr w:rsidR="00E96188" w14:paraId="300D89CC" w14:textId="77777777" w:rsidTr="00E96188">
        <w:trPr>
          <w:cantSplit/>
          <w:trHeight w:val="1134"/>
        </w:trPr>
        <w:tc>
          <w:tcPr>
            <w:tcW w:w="988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3783F2C2" w14:textId="77777777" w:rsidR="00E96188" w:rsidRDefault="00E96188" w:rsidP="00E96188">
            <w:pPr>
              <w:ind w:left="113" w:right="113"/>
              <w:jc w:val="center"/>
            </w:pPr>
            <w:r>
              <w:t>GOALS</w:t>
            </w:r>
          </w:p>
        </w:tc>
        <w:tc>
          <w:tcPr>
            <w:tcW w:w="3600" w:type="dxa"/>
            <w:tcBorders>
              <w:top w:val="nil"/>
              <w:bottom w:val="single" w:sz="2" w:space="0" w:color="auto"/>
            </w:tcBorders>
            <w:vAlign w:val="center"/>
          </w:tcPr>
          <w:p w14:paraId="5C04D288" w14:textId="547A181F" w:rsidR="00E96188" w:rsidRDefault="00E96188" w:rsidP="00E96188">
            <w:pPr>
              <w:jc w:val="center"/>
            </w:pPr>
            <w:r>
              <w:t xml:space="preserve">All </w:t>
            </w:r>
            <w:proofErr w:type="spellStart"/>
            <w:r w:rsidR="00B2386F">
              <w:t>tauira</w:t>
            </w:r>
            <w:proofErr w:type="spellEnd"/>
            <w:r w:rsidR="00820B1C">
              <w:t xml:space="preserve"> have opportunities</w:t>
            </w:r>
            <w:r>
              <w:t xml:space="preserve"> to succeed.</w:t>
            </w:r>
          </w:p>
        </w:tc>
        <w:tc>
          <w:tcPr>
            <w:tcW w:w="3600" w:type="dxa"/>
            <w:tcBorders>
              <w:top w:val="nil"/>
              <w:bottom w:val="single" w:sz="2" w:space="0" w:color="auto"/>
            </w:tcBorders>
            <w:vAlign w:val="center"/>
          </w:tcPr>
          <w:p w14:paraId="400D89AB" w14:textId="263D7F32" w:rsidR="00E96188" w:rsidRDefault="00820B1C" w:rsidP="00E96188">
            <w:pPr>
              <w:jc w:val="center"/>
            </w:pPr>
            <w:r>
              <w:t>Create a common understanding of effective pedagogy schoolwide.</w:t>
            </w:r>
          </w:p>
        </w:tc>
        <w:tc>
          <w:tcPr>
            <w:tcW w:w="3600" w:type="dxa"/>
            <w:tcBorders>
              <w:top w:val="nil"/>
              <w:bottom w:val="single" w:sz="2" w:space="0" w:color="auto"/>
            </w:tcBorders>
            <w:vAlign w:val="center"/>
          </w:tcPr>
          <w:p w14:paraId="62672BED" w14:textId="2C5C92ED" w:rsidR="00E96188" w:rsidRDefault="00B2386F" w:rsidP="00E96188">
            <w:pPr>
              <w:jc w:val="center"/>
            </w:pPr>
            <w:r>
              <w:t>Kaiako</w:t>
            </w:r>
            <w:r w:rsidR="00E96188">
              <w:t xml:space="preserve"> and </w:t>
            </w:r>
            <w:proofErr w:type="spellStart"/>
            <w:r>
              <w:t>tauira</w:t>
            </w:r>
            <w:proofErr w:type="spellEnd"/>
            <w:r w:rsidR="00E96188">
              <w:t xml:space="preserve"> are able to realise their potential </w:t>
            </w:r>
            <w:r>
              <w:t>with</w:t>
            </w:r>
            <w:r w:rsidR="00E96188">
              <w:t>in a safe and inclusive environment.</w:t>
            </w:r>
          </w:p>
        </w:tc>
        <w:tc>
          <w:tcPr>
            <w:tcW w:w="360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2B0D15E4" w14:textId="666DB9AA" w:rsidR="00E96188" w:rsidRDefault="00820B1C" w:rsidP="00E96188">
            <w:pPr>
              <w:jc w:val="center"/>
            </w:pPr>
            <w:r>
              <w:t>Collaboration</w:t>
            </w:r>
          </w:p>
        </w:tc>
      </w:tr>
      <w:tr w:rsidR="00E96188" w14:paraId="2A6838B1" w14:textId="77777777" w:rsidTr="00E96188">
        <w:trPr>
          <w:cantSplit/>
          <w:trHeight w:val="1134"/>
        </w:trPr>
        <w:tc>
          <w:tcPr>
            <w:tcW w:w="988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26C12E8" w14:textId="77777777" w:rsidR="00E96188" w:rsidRDefault="00E96188" w:rsidP="00E96188">
            <w:pPr>
              <w:ind w:left="113" w:right="113"/>
              <w:jc w:val="center"/>
            </w:pPr>
            <w:r>
              <w:t>PRIORITIES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1DFFCF" w14:textId="77777777" w:rsidR="00E96188" w:rsidRDefault="00E96188" w:rsidP="00E96188">
            <w:pPr>
              <w:jc w:val="center"/>
            </w:pPr>
          </w:p>
          <w:p w14:paraId="4A476709" w14:textId="44BCF6D8" w:rsidR="00E96188" w:rsidRDefault="00E96188" w:rsidP="00E96188">
            <w:pPr>
              <w:jc w:val="center"/>
            </w:pPr>
            <w:r>
              <w:t>Student Achievement</w:t>
            </w:r>
          </w:p>
          <w:p w14:paraId="20568AC5" w14:textId="33167A4A" w:rsidR="00E96188" w:rsidRDefault="00E96188" w:rsidP="00E96188">
            <w:pPr>
              <w:jc w:val="center"/>
            </w:pPr>
          </w:p>
          <w:p w14:paraId="005E30BE" w14:textId="6518837A" w:rsidR="00E96188" w:rsidRDefault="00E96188" w:rsidP="00E96188">
            <w:pPr>
              <w:jc w:val="center"/>
            </w:pPr>
            <w:r>
              <w:t>Resourcing</w:t>
            </w:r>
          </w:p>
          <w:p w14:paraId="0F7CAAFA" w14:textId="77777777" w:rsidR="00E96188" w:rsidRDefault="00E96188" w:rsidP="00E96188"/>
          <w:p w14:paraId="6F72EC7C" w14:textId="77777777" w:rsidR="00E96188" w:rsidRDefault="00E96188" w:rsidP="00E96188">
            <w:pPr>
              <w:jc w:val="center"/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6B2902" w14:textId="77777777" w:rsidR="00B2386F" w:rsidRDefault="00B2386F" w:rsidP="00E96188">
            <w:pPr>
              <w:jc w:val="center"/>
            </w:pPr>
          </w:p>
          <w:p w14:paraId="63501E68" w14:textId="5EE25785" w:rsidR="00820B1C" w:rsidRDefault="00B2386F" w:rsidP="00B2386F">
            <w:pPr>
              <w:jc w:val="center"/>
            </w:pPr>
            <w:r>
              <w:t>Effective Pedagogy</w:t>
            </w:r>
          </w:p>
          <w:p w14:paraId="2C447537" w14:textId="59518809" w:rsidR="00B2386F" w:rsidRDefault="00B2386F" w:rsidP="00B2386F">
            <w:pPr>
              <w:jc w:val="center"/>
            </w:pPr>
          </w:p>
          <w:p w14:paraId="27DC9EEF" w14:textId="3CE1E1F4" w:rsidR="00B2386F" w:rsidRDefault="00B2386F" w:rsidP="00B2386F">
            <w:pPr>
              <w:jc w:val="center"/>
            </w:pPr>
            <w:r>
              <w:t>Coaching and Mentoring</w:t>
            </w:r>
          </w:p>
          <w:p w14:paraId="40A618A5" w14:textId="77777777" w:rsidR="00B2386F" w:rsidRDefault="00B2386F" w:rsidP="00B2386F">
            <w:pPr>
              <w:jc w:val="center"/>
            </w:pPr>
          </w:p>
          <w:p w14:paraId="30F78FCE" w14:textId="33079E6B" w:rsidR="00820B1C" w:rsidRDefault="00820B1C" w:rsidP="00E96188">
            <w:pPr>
              <w:jc w:val="center"/>
            </w:pPr>
            <w:r>
              <w:t>Culturally Responsive Practice</w:t>
            </w:r>
          </w:p>
          <w:p w14:paraId="26E7420A" w14:textId="20456474" w:rsidR="00E96188" w:rsidRDefault="00E96188" w:rsidP="00B2386F"/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31DEE" w14:textId="361D8180" w:rsidR="00E96188" w:rsidRDefault="00B2386F" w:rsidP="00B2386F">
            <w:pPr>
              <w:jc w:val="center"/>
            </w:pPr>
            <w:r>
              <w:t>Well Being/School Values</w:t>
            </w:r>
          </w:p>
          <w:p w14:paraId="1EC2139D" w14:textId="77777777" w:rsidR="00E96188" w:rsidRDefault="00E96188" w:rsidP="00E96188">
            <w:pPr>
              <w:jc w:val="center"/>
            </w:pPr>
          </w:p>
          <w:p w14:paraId="10DD502E" w14:textId="788B0280" w:rsidR="00B2386F" w:rsidRDefault="00B2386F" w:rsidP="00B2386F">
            <w:pPr>
              <w:jc w:val="center"/>
            </w:pPr>
            <w:r>
              <w:t>School Environment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59A052" w14:textId="519F9E39" w:rsidR="00E96188" w:rsidRDefault="00B2386F" w:rsidP="00E96188">
            <w:pPr>
              <w:jc w:val="center"/>
            </w:pPr>
            <w:r>
              <w:t>Stakeholder Engagement</w:t>
            </w:r>
          </w:p>
        </w:tc>
      </w:tr>
      <w:tr w:rsidR="00E96188" w14:paraId="47102C9F" w14:textId="77777777" w:rsidTr="00E96188">
        <w:trPr>
          <w:cantSplit/>
          <w:trHeight w:val="1134"/>
        </w:trPr>
        <w:tc>
          <w:tcPr>
            <w:tcW w:w="988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B539C0A" w14:textId="77777777" w:rsidR="00E96188" w:rsidRDefault="00E96188" w:rsidP="00E96188">
            <w:pPr>
              <w:ind w:left="113" w:right="113"/>
              <w:jc w:val="center"/>
            </w:pPr>
            <w:r>
              <w:t>VALUES</w:t>
            </w:r>
          </w:p>
        </w:tc>
        <w:tc>
          <w:tcPr>
            <w:tcW w:w="3600" w:type="dxa"/>
            <w:tcBorders>
              <w:top w:val="single" w:sz="2" w:space="0" w:color="auto"/>
              <w:bottom w:val="nil"/>
            </w:tcBorders>
            <w:vAlign w:val="center"/>
          </w:tcPr>
          <w:p w14:paraId="51961F3F" w14:textId="583EA08E" w:rsidR="00E96188" w:rsidRDefault="00E96188" w:rsidP="00E96188">
            <w:pPr>
              <w:jc w:val="center"/>
            </w:pPr>
            <w:r>
              <w:t>RESPECT</w:t>
            </w:r>
          </w:p>
        </w:tc>
        <w:tc>
          <w:tcPr>
            <w:tcW w:w="3600" w:type="dxa"/>
            <w:tcBorders>
              <w:top w:val="single" w:sz="2" w:space="0" w:color="auto"/>
              <w:bottom w:val="nil"/>
            </w:tcBorders>
            <w:vAlign w:val="center"/>
          </w:tcPr>
          <w:p w14:paraId="07399838" w14:textId="7757845A" w:rsidR="00E96188" w:rsidRDefault="00E96188" w:rsidP="00E96188">
            <w:pPr>
              <w:jc w:val="center"/>
            </w:pPr>
            <w:r>
              <w:t>ON TO IT</w:t>
            </w:r>
          </w:p>
        </w:tc>
        <w:tc>
          <w:tcPr>
            <w:tcW w:w="3600" w:type="dxa"/>
            <w:tcBorders>
              <w:top w:val="single" w:sz="2" w:space="0" w:color="auto"/>
              <w:bottom w:val="nil"/>
            </w:tcBorders>
            <w:vAlign w:val="center"/>
          </w:tcPr>
          <w:p w14:paraId="47915823" w14:textId="591769CF" w:rsidR="00E96188" w:rsidRDefault="00E96188" w:rsidP="00E96188">
            <w:pPr>
              <w:jc w:val="center"/>
            </w:pPr>
            <w:r>
              <w:t>COURAGE</w:t>
            </w:r>
          </w:p>
        </w:tc>
        <w:tc>
          <w:tcPr>
            <w:tcW w:w="3600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DEF0E9B" w14:textId="1A15B558" w:rsidR="00E96188" w:rsidRDefault="00E96188" w:rsidP="00E96188">
            <w:pPr>
              <w:jc w:val="center"/>
            </w:pPr>
            <w:r>
              <w:t>KINDNESS</w:t>
            </w:r>
          </w:p>
        </w:tc>
      </w:tr>
    </w:tbl>
    <w:p w14:paraId="5108ACA2" w14:textId="3CB7E421" w:rsidR="00E96188" w:rsidRDefault="00E96188"/>
    <w:p w14:paraId="75B79F60" w14:textId="62C9997C" w:rsidR="00E96188" w:rsidRDefault="00E96188" w:rsidP="00E96188">
      <w:pPr>
        <w:jc w:val="center"/>
        <w:rPr>
          <w:b/>
          <w:bCs/>
          <w:noProof/>
          <w:color w:val="7030A0"/>
          <w:sz w:val="56"/>
          <w:szCs w:val="56"/>
          <w:u w:val="single"/>
        </w:rPr>
      </w:pPr>
      <w:r w:rsidRPr="00E96188">
        <w:rPr>
          <w:b/>
          <w:bCs/>
          <w:color w:val="7030A0"/>
          <w:sz w:val="56"/>
          <w:szCs w:val="56"/>
          <w:u w:val="single"/>
        </w:rPr>
        <w:lastRenderedPageBreak/>
        <w:t>STRATEGIC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drawing>
          <wp:anchor distT="0" distB="0" distL="114300" distR="114300" simplePos="0" relativeHeight="251665408" behindDoc="0" locked="0" layoutInCell="1" allowOverlap="1" wp14:anchorId="47F4A855" wp14:editId="0FEAA5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682" cy="127022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82" cy="127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GOAL 1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–</w:t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Tauira (Students)</w:t>
      </w:r>
    </w:p>
    <w:p w14:paraId="002A6407" w14:textId="77777777" w:rsidR="00E96188" w:rsidRPr="00E96188" w:rsidRDefault="00E96188" w:rsidP="00E96188">
      <w:pPr>
        <w:jc w:val="center"/>
        <w:rPr>
          <w:b/>
          <w:bCs/>
          <w:noProof/>
          <w:color w:val="7030A0"/>
          <w:sz w:val="16"/>
          <w:szCs w:val="16"/>
        </w:rPr>
      </w:pPr>
    </w:p>
    <w:p w14:paraId="3DA5E83F" w14:textId="63C8E2B7" w:rsidR="00E96188" w:rsidRDefault="00E96188" w:rsidP="00820B1C">
      <w:pPr>
        <w:jc w:val="center"/>
        <w:rPr>
          <w:b/>
          <w:bCs/>
          <w:color w:val="7030A0"/>
          <w:sz w:val="44"/>
          <w:szCs w:val="44"/>
        </w:rPr>
      </w:pPr>
      <w:r w:rsidRPr="00E96188">
        <w:rPr>
          <w:b/>
          <w:bCs/>
          <w:color w:val="7030A0"/>
          <w:sz w:val="44"/>
          <w:szCs w:val="44"/>
        </w:rPr>
        <w:t xml:space="preserve">All </w:t>
      </w:r>
      <w:proofErr w:type="spellStart"/>
      <w:r w:rsidR="00B2386F">
        <w:rPr>
          <w:b/>
          <w:bCs/>
          <w:color w:val="7030A0"/>
          <w:sz w:val="44"/>
          <w:szCs w:val="44"/>
        </w:rPr>
        <w:t>Tauira</w:t>
      </w:r>
      <w:proofErr w:type="spellEnd"/>
      <w:r w:rsidR="00820B1C">
        <w:rPr>
          <w:b/>
          <w:bCs/>
          <w:color w:val="7030A0"/>
          <w:sz w:val="44"/>
          <w:szCs w:val="44"/>
        </w:rPr>
        <w:t xml:space="preserve"> have opportunities</w:t>
      </w:r>
      <w:r w:rsidRPr="00E96188">
        <w:rPr>
          <w:b/>
          <w:bCs/>
          <w:color w:val="7030A0"/>
          <w:sz w:val="44"/>
          <w:szCs w:val="44"/>
        </w:rPr>
        <w:t xml:space="preserve"> to succeed.</w:t>
      </w:r>
    </w:p>
    <w:p w14:paraId="5425C73F" w14:textId="48599294" w:rsidR="00E96188" w:rsidRDefault="00E96188" w:rsidP="00E96188">
      <w:pPr>
        <w:jc w:val="center"/>
        <w:rPr>
          <w:b/>
          <w:bCs/>
          <w:color w:val="7030A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96188" w14:paraId="30E0189F" w14:textId="77777777" w:rsidTr="00E96188">
        <w:tc>
          <w:tcPr>
            <w:tcW w:w="7694" w:type="dxa"/>
          </w:tcPr>
          <w:p w14:paraId="6B60CC84" w14:textId="77777777" w:rsidR="00E96188" w:rsidRDefault="00E96188" w:rsidP="00E96188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Strategic Objectives</w:t>
            </w:r>
          </w:p>
          <w:p w14:paraId="7DDA736D" w14:textId="0DCC4F74" w:rsidR="00E96188" w:rsidRPr="00E96188" w:rsidRDefault="00E96188" w:rsidP="00E9618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96188">
              <w:rPr>
                <w:b/>
                <w:bCs/>
                <w:color w:val="7030A0"/>
                <w:sz w:val="28"/>
                <w:szCs w:val="28"/>
              </w:rPr>
              <w:t>Links to National Educational Priorities (NELP)</w:t>
            </w:r>
          </w:p>
        </w:tc>
        <w:tc>
          <w:tcPr>
            <w:tcW w:w="7694" w:type="dxa"/>
          </w:tcPr>
          <w:p w14:paraId="3F134573" w14:textId="7867E18E" w:rsidR="00E96188" w:rsidRDefault="00E96188" w:rsidP="00E96188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202</w:t>
            </w:r>
            <w:r w:rsidR="00820B1C">
              <w:rPr>
                <w:b/>
                <w:bCs/>
                <w:color w:val="7030A0"/>
                <w:sz w:val="44"/>
                <w:szCs w:val="44"/>
              </w:rPr>
              <w:t>4/25</w:t>
            </w:r>
            <w:r>
              <w:rPr>
                <w:b/>
                <w:bCs/>
                <w:color w:val="7030A0"/>
                <w:sz w:val="44"/>
                <w:szCs w:val="44"/>
              </w:rPr>
              <w:t xml:space="preserve"> </w:t>
            </w:r>
            <w:r w:rsidR="00B2386F">
              <w:rPr>
                <w:b/>
                <w:bCs/>
                <w:color w:val="7030A0"/>
                <w:sz w:val="44"/>
                <w:szCs w:val="44"/>
              </w:rPr>
              <w:t>Impact</w:t>
            </w:r>
          </w:p>
          <w:p w14:paraId="408B08DF" w14:textId="5EB45F09" w:rsidR="00E96188" w:rsidRPr="00E96188" w:rsidRDefault="00E96188" w:rsidP="00E9618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96188">
              <w:rPr>
                <w:b/>
                <w:bCs/>
                <w:color w:val="7030A0"/>
                <w:sz w:val="28"/>
                <w:szCs w:val="28"/>
              </w:rPr>
              <w:t>(</w:t>
            </w:r>
            <w:r w:rsidR="00B2386F">
              <w:rPr>
                <w:b/>
                <w:bCs/>
                <w:color w:val="7030A0"/>
                <w:sz w:val="28"/>
                <w:szCs w:val="28"/>
              </w:rPr>
              <w:t>The big picture</w:t>
            </w:r>
            <w:r w:rsidRPr="00E96188">
              <w:rPr>
                <w:b/>
                <w:bCs/>
                <w:color w:val="7030A0"/>
                <w:sz w:val="28"/>
                <w:szCs w:val="28"/>
              </w:rPr>
              <w:t>…)</w:t>
            </w:r>
          </w:p>
        </w:tc>
      </w:tr>
      <w:tr w:rsidR="00E96188" w14:paraId="614E9E5C" w14:textId="77777777" w:rsidTr="00E96188">
        <w:tc>
          <w:tcPr>
            <w:tcW w:w="7694" w:type="dxa"/>
          </w:tcPr>
          <w:p w14:paraId="6C92FD16" w14:textId="39D16B0E" w:rsidR="00E96188" w:rsidRPr="00E96188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E96188">
              <w:rPr>
                <w:b/>
                <w:bCs/>
                <w:color w:val="7030A0"/>
                <w:sz w:val="28"/>
                <w:szCs w:val="28"/>
              </w:rPr>
              <w:t xml:space="preserve">An effective, engaging and authentic local curriculum is developed that ensures every learner gains sound foundation skills in literacy and numeracy, </w:t>
            </w:r>
            <w:proofErr w:type="spellStart"/>
            <w:r w:rsidRPr="00E96188">
              <w:rPr>
                <w:b/>
                <w:bCs/>
                <w:color w:val="7030A0"/>
                <w:sz w:val="28"/>
                <w:szCs w:val="28"/>
              </w:rPr>
              <w:t>te</w:t>
            </w:r>
            <w:proofErr w:type="spellEnd"/>
            <w:r w:rsidRPr="00E96188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96188">
              <w:rPr>
                <w:b/>
                <w:bCs/>
                <w:color w:val="7030A0"/>
                <w:sz w:val="28"/>
                <w:szCs w:val="28"/>
              </w:rPr>
              <w:t>reo</w:t>
            </w:r>
            <w:proofErr w:type="spellEnd"/>
            <w:r w:rsidRPr="00E96188">
              <w:rPr>
                <w:b/>
                <w:bCs/>
                <w:color w:val="7030A0"/>
                <w:sz w:val="28"/>
                <w:szCs w:val="28"/>
              </w:rPr>
              <w:t xml:space="preserve"> Māori and tikanga Māori, and learning that will be relevant to students today and in the future. (NELP 4,7)</w:t>
            </w:r>
          </w:p>
        </w:tc>
        <w:tc>
          <w:tcPr>
            <w:tcW w:w="7694" w:type="dxa"/>
          </w:tcPr>
          <w:p w14:paraId="3852C0BC" w14:textId="77777777" w:rsidR="00E96188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Curriculum review/refresh</w:t>
            </w:r>
          </w:p>
          <w:p w14:paraId="5E042D67" w14:textId="75735DD8" w:rsidR="00361372" w:rsidRPr="00E96188" w:rsidRDefault="00361372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Refreshed curriculum plans and associated programmes are put together and starting to be introduced.</w:t>
            </w:r>
          </w:p>
        </w:tc>
      </w:tr>
      <w:tr w:rsidR="00E96188" w14:paraId="545FAC58" w14:textId="77777777" w:rsidTr="00E96188">
        <w:tc>
          <w:tcPr>
            <w:tcW w:w="7694" w:type="dxa"/>
          </w:tcPr>
          <w:p w14:paraId="201E1660" w14:textId="7E74BD13" w:rsidR="00E96188" w:rsidRPr="00E96188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E96188">
              <w:rPr>
                <w:b/>
                <w:bCs/>
                <w:color w:val="7030A0"/>
                <w:sz w:val="28"/>
                <w:szCs w:val="28"/>
              </w:rPr>
              <w:t xml:space="preserve">Effective teaching and learning resources are provided to reduce barriers to learning for all, including those with learning support needs, and to promote sound foundation skills and </w:t>
            </w:r>
            <w:proofErr w:type="spellStart"/>
            <w:r w:rsidRPr="00E96188">
              <w:rPr>
                <w:b/>
                <w:bCs/>
                <w:color w:val="7030A0"/>
                <w:sz w:val="28"/>
                <w:szCs w:val="28"/>
              </w:rPr>
              <w:t>te</w:t>
            </w:r>
            <w:proofErr w:type="spellEnd"/>
            <w:r w:rsidRPr="00E96188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96188">
              <w:rPr>
                <w:b/>
                <w:bCs/>
                <w:color w:val="7030A0"/>
                <w:sz w:val="28"/>
                <w:szCs w:val="28"/>
              </w:rPr>
              <w:t>reo</w:t>
            </w:r>
            <w:proofErr w:type="spellEnd"/>
            <w:r w:rsidRPr="00E96188">
              <w:rPr>
                <w:b/>
                <w:bCs/>
                <w:color w:val="7030A0"/>
                <w:sz w:val="28"/>
                <w:szCs w:val="28"/>
              </w:rPr>
              <w:t xml:space="preserve"> Māori and tikanga Māori. (NELP 3,5)</w:t>
            </w:r>
          </w:p>
        </w:tc>
        <w:tc>
          <w:tcPr>
            <w:tcW w:w="7694" w:type="dxa"/>
          </w:tcPr>
          <w:p w14:paraId="45962A7D" w14:textId="77777777" w:rsidR="00935B33" w:rsidRDefault="00361372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Teaching and learning resources are reviewed for effectiveness and value to learning</w:t>
            </w:r>
            <w:r w:rsidR="00935B33">
              <w:rPr>
                <w:b/>
                <w:bCs/>
                <w:color w:val="7030A0"/>
                <w:sz w:val="28"/>
                <w:szCs w:val="28"/>
              </w:rPr>
              <w:t>.</w:t>
            </w:r>
          </w:p>
          <w:p w14:paraId="3D4D2A61" w14:textId="08355B3B" w:rsidR="00935B33" w:rsidRPr="00E96188" w:rsidRDefault="00935B33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Quality learning time is maximised as our learning support system supports the needs of our students who need it.</w:t>
            </w:r>
          </w:p>
        </w:tc>
      </w:tr>
      <w:tr w:rsidR="00E96188" w14:paraId="746978CE" w14:textId="77777777" w:rsidTr="00E96188">
        <w:tc>
          <w:tcPr>
            <w:tcW w:w="7694" w:type="dxa"/>
          </w:tcPr>
          <w:p w14:paraId="75639564" w14:textId="0AE5EBA4" w:rsidR="00E96188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Review and refine planning, assessment and reporting practices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>. (NELP 3)</w:t>
            </w:r>
          </w:p>
        </w:tc>
        <w:tc>
          <w:tcPr>
            <w:tcW w:w="7694" w:type="dxa"/>
          </w:tcPr>
          <w:p w14:paraId="67553E21" w14:textId="77777777" w:rsidR="00E96188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Board reporting</w:t>
            </w:r>
          </w:p>
          <w:p w14:paraId="08670CFA" w14:textId="30B9EFF9" w:rsidR="00361372" w:rsidRPr="00E96188" w:rsidRDefault="00361372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Reporting on student progress and achievement to the board is effective and monitored.</w:t>
            </w:r>
          </w:p>
        </w:tc>
      </w:tr>
    </w:tbl>
    <w:p w14:paraId="2F5917AD" w14:textId="55E06D58" w:rsidR="00E96188" w:rsidRDefault="00E96188" w:rsidP="00155A13">
      <w:pPr>
        <w:rPr>
          <w:b/>
          <w:bCs/>
          <w:color w:val="7030A0"/>
          <w:sz w:val="44"/>
          <w:szCs w:val="44"/>
        </w:rPr>
      </w:pPr>
    </w:p>
    <w:p w14:paraId="1DCFA342" w14:textId="41B6F018" w:rsidR="00AF02E9" w:rsidRDefault="00AF02E9" w:rsidP="00155A13">
      <w:pPr>
        <w:rPr>
          <w:b/>
          <w:bCs/>
          <w:color w:val="7030A0"/>
          <w:sz w:val="44"/>
          <w:szCs w:val="44"/>
        </w:rPr>
      </w:pPr>
    </w:p>
    <w:p w14:paraId="2225AFBF" w14:textId="1AD402DD" w:rsidR="00AF02E9" w:rsidRDefault="00AF02E9" w:rsidP="00155A13">
      <w:pPr>
        <w:rPr>
          <w:b/>
          <w:bCs/>
          <w:color w:val="7030A0"/>
          <w:sz w:val="44"/>
          <w:szCs w:val="44"/>
        </w:rPr>
      </w:pPr>
    </w:p>
    <w:p w14:paraId="527E8EE8" w14:textId="5C3D4414" w:rsidR="00AF02E9" w:rsidRDefault="00AF02E9" w:rsidP="00155A13">
      <w:pPr>
        <w:rPr>
          <w:b/>
          <w:bCs/>
          <w:color w:val="7030A0"/>
          <w:sz w:val="44"/>
          <w:szCs w:val="44"/>
        </w:rPr>
      </w:pPr>
    </w:p>
    <w:p w14:paraId="35699F63" w14:textId="77777777" w:rsidR="00AF02E9" w:rsidRDefault="00AF02E9" w:rsidP="00155A13">
      <w:pPr>
        <w:rPr>
          <w:b/>
          <w:bCs/>
          <w:color w:val="7030A0"/>
          <w:sz w:val="44"/>
          <w:szCs w:val="44"/>
        </w:rPr>
      </w:pPr>
    </w:p>
    <w:p w14:paraId="19E188BD" w14:textId="77777777" w:rsidR="00B2386F" w:rsidRDefault="00B2386F" w:rsidP="00155A13">
      <w:pPr>
        <w:rPr>
          <w:b/>
          <w:bCs/>
          <w:color w:val="7030A0"/>
        </w:rPr>
      </w:pPr>
    </w:p>
    <w:p w14:paraId="0E47E061" w14:textId="5F163B52" w:rsidR="00E96188" w:rsidRDefault="00E96188" w:rsidP="00B2386F">
      <w:pPr>
        <w:jc w:val="center"/>
        <w:rPr>
          <w:b/>
          <w:bCs/>
          <w:color w:val="7030A0"/>
          <w:sz w:val="44"/>
          <w:szCs w:val="44"/>
        </w:rPr>
        <w:sectPr w:rsidR="00E96188" w:rsidSect="00E96188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14:paraId="7677B331" w14:textId="57BFCAB1" w:rsidR="00E96188" w:rsidRDefault="00E96188" w:rsidP="00B2386F">
      <w:pPr>
        <w:jc w:val="center"/>
        <w:rPr>
          <w:b/>
          <w:bCs/>
          <w:noProof/>
          <w:color w:val="7030A0"/>
          <w:sz w:val="56"/>
          <w:szCs w:val="56"/>
          <w:u w:val="single"/>
        </w:rPr>
      </w:pPr>
      <w:r w:rsidRPr="00E96188">
        <w:rPr>
          <w:b/>
          <w:bCs/>
          <w:color w:val="7030A0"/>
          <w:sz w:val="56"/>
          <w:szCs w:val="56"/>
          <w:u w:val="single"/>
        </w:rPr>
        <w:lastRenderedPageBreak/>
        <w:t>STRATEGIC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drawing>
          <wp:anchor distT="0" distB="0" distL="114300" distR="114300" simplePos="0" relativeHeight="251667456" behindDoc="0" locked="0" layoutInCell="1" allowOverlap="1" wp14:anchorId="33721795" wp14:editId="3AFF76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682" cy="127022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82" cy="127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GOAL 2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–</w:t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Kaiako (Staff)</w:t>
      </w:r>
    </w:p>
    <w:p w14:paraId="6922435A" w14:textId="77777777" w:rsidR="00E96188" w:rsidRPr="00E96188" w:rsidRDefault="00E96188" w:rsidP="00E96188">
      <w:pPr>
        <w:jc w:val="center"/>
        <w:rPr>
          <w:b/>
          <w:bCs/>
          <w:noProof/>
          <w:color w:val="7030A0"/>
          <w:sz w:val="16"/>
          <w:szCs w:val="16"/>
        </w:rPr>
      </w:pPr>
    </w:p>
    <w:p w14:paraId="523A924B" w14:textId="77777777" w:rsidR="00B2386F" w:rsidRDefault="00B2386F" w:rsidP="00E96188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 xml:space="preserve">Create a common understanding of effective </w:t>
      </w:r>
    </w:p>
    <w:p w14:paraId="353AFFBF" w14:textId="17166C04" w:rsidR="00E96188" w:rsidRDefault="00B2386F" w:rsidP="00E96188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pedagogy schoolwide</w:t>
      </w:r>
      <w:r w:rsidR="00E96188">
        <w:rPr>
          <w:b/>
          <w:bCs/>
          <w:color w:val="7030A0"/>
          <w:sz w:val="44"/>
          <w:szCs w:val="44"/>
        </w:rPr>
        <w:t>.</w:t>
      </w:r>
    </w:p>
    <w:p w14:paraId="10A8D57B" w14:textId="77777777" w:rsidR="00E96188" w:rsidRDefault="00E96188" w:rsidP="00E96188">
      <w:pPr>
        <w:jc w:val="center"/>
        <w:rPr>
          <w:b/>
          <w:bCs/>
          <w:color w:val="7030A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96188" w14:paraId="44023DF3" w14:textId="77777777" w:rsidTr="00B5680F">
        <w:tc>
          <w:tcPr>
            <w:tcW w:w="7694" w:type="dxa"/>
          </w:tcPr>
          <w:p w14:paraId="64C0F8AA" w14:textId="77777777" w:rsidR="00E96188" w:rsidRDefault="00E96188" w:rsidP="00B5680F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Strategic Objectives</w:t>
            </w:r>
          </w:p>
        </w:tc>
        <w:tc>
          <w:tcPr>
            <w:tcW w:w="7694" w:type="dxa"/>
          </w:tcPr>
          <w:p w14:paraId="5A10726A" w14:textId="1EFF53FF" w:rsidR="00E96188" w:rsidRDefault="00E96188" w:rsidP="00B5680F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202</w:t>
            </w:r>
            <w:r w:rsidR="00B2386F">
              <w:rPr>
                <w:b/>
                <w:bCs/>
                <w:color w:val="7030A0"/>
                <w:sz w:val="44"/>
                <w:szCs w:val="44"/>
              </w:rPr>
              <w:t>4/25</w:t>
            </w:r>
            <w:r>
              <w:rPr>
                <w:b/>
                <w:bCs/>
                <w:color w:val="7030A0"/>
                <w:sz w:val="44"/>
                <w:szCs w:val="44"/>
              </w:rPr>
              <w:t xml:space="preserve"> </w:t>
            </w:r>
            <w:r w:rsidR="00B2386F">
              <w:rPr>
                <w:b/>
                <w:bCs/>
                <w:color w:val="7030A0"/>
                <w:sz w:val="44"/>
                <w:szCs w:val="44"/>
              </w:rPr>
              <w:t>Impact</w:t>
            </w:r>
          </w:p>
        </w:tc>
      </w:tr>
      <w:tr w:rsidR="00E96188" w14:paraId="2E6F3336" w14:textId="77777777" w:rsidTr="00B5680F">
        <w:tc>
          <w:tcPr>
            <w:tcW w:w="7694" w:type="dxa"/>
          </w:tcPr>
          <w:p w14:paraId="250F6D45" w14:textId="4460239A" w:rsidR="00E96188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Research and implement the principles of effective pedagogy while embedding what we know works.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 xml:space="preserve"> (NELP 6)</w:t>
            </w:r>
          </w:p>
        </w:tc>
        <w:tc>
          <w:tcPr>
            <w:tcW w:w="7694" w:type="dxa"/>
          </w:tcPr>
          <w:p w14:paraId="5BDFA94F" w14:textId="4DC0469B" w:rsidR="00361372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Agreed pedagogy is implemented school-wide and supports improved achievement and current proven best practice.</w:t>
            </w:r>
          </w:p>
        </w:tc>
      </w:tr>
      <w:tr w:rsidR="00E96188" w14:paraId="59F687AA" w14:textId="77777777" w:rsidTr="00B5680F">
        <w:tc>
          <w:tcPr>
            <w:tcW w:w="7694" w:type="dxa"/>
          </w:tcPr>
          <w:p w14:paraId="7B0C6D97" w14:textId="0ADF0A61" w:rsidR="00E96188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Implement an effective coaching model to further support and strengthen teachers capacity.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 xml:space="preserve"> (NELP 6)</w:t>
            </w:r>
          </w:p>
        </w:tc>
        <w:tc>
          <w:tcPr>
            <w:tcW w:w="7694" w:type="dxa"/>
          </w:tcPr>
          <w:p w14:paraId="595353E1" w14:textId="77777777" w:rsidR="00F15A6B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Strong internal coaching and mentoring process is embedded.</w:t>
            </w:r>
          </w:p>
          <w:p w14:paraId="26D524EE" w14:textId="7B0437E1" w:rsidR="00B2386F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Develop teacher release space to meet increased teacher release.</w:t>
            </w:r>
          </w:p>
        </w:tc>
      </w:tr>
      <w:tr w:rsidR="00E96188" w14:paraId="0643D018" w14:textId="77777777" w:rsidTr="00B5680F">
        <w:tc>
          <w:tcPr>
            <w:tcW w:w="7694" w:type="dxa"/>
          </w:tcPr>
          <w:p w14:paraId="61BF705A" w14:textId="7EF17B0C" w:rsidR="00E96188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Strengthen culturally responsive and inclusive practice.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 xml:space="preserve"> (NELP 3,5)</w:t>
            </w:r>
          </w:p>
        </w:tc>
        <w:tc>
          <w:tcPr>
            <w:tcW w:w="7694" w:type="dxa"/>
          </w:tcPr>
          <w:p w14:paraId="3B0F4F45" w14:textId="77777777" w:rsidR="00211481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Tauira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have an enhanced sense of identity and belonging and they can identify their strengths.</w:t>
            </w:r>
          </w:p>
          <w:p w14:paraId="0846269B" w14:textId="252D5417" w:rsidR="00B2386F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Te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Reo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and tikanga are increasingly normalised.</w:t>
            </w:r>
          </w:p>
        </w:tc>
      </w:tr>
    </w:tbl>
    <w:p w14:paraId="10FDF479" w14:textId="799889C4" w:rsidR="00E96188" w:rsidRDefault="00E96188" w:rsidP="00E96188">
      <w:pPr>
        <w:jc w:val="center"/>
        <w:rPr>
          <w:b/>
          <w:bCs/>
          <w:color w:val="7030A0"/>
          <w:sz w:val="44"/>
          <w:szCs w:val="44"/>
        </w:rPr>
      </w:pPr>
    </w:p>
    <w:p w14:paraId="6BEA0CCD" w14:textId="56FFB3B8" w:rsidR="00E96188" w:rsidRDefault="00E96188" w:rsidP="00E96188">
      <w:pPr>
        <w:jc w:val="center"/>
        <w:rPr>
          <w:b/>
          <w:bCs/>
          <w:color w:val="7030A0"/>
          <w:sz w:val="44"/>
          <w:szCs w:val="44"/>
        </w:rPr>
      </w:pPr>
    </w:p>
    <w:p w14:paraId="2A9E90FB" w14:textId="202CBFAF" w:rsidR="00B2386F" w:rsidRDefault="00B2386F" w:rsidP="00E96188">
      <w:pPr>
        <w:jc w:val="center"/>
        <w:rPr>
          <w:b/>
          <w:bCs/>
          <w:color w:val="7030A0"/>
          <w:sz w:val="44"/>
          <w:szCs w:val="44"/>
        </w:rPr>
      </w:pPr>
    </w:p>
    <w:p w14:paraId="6FC24F86" w14:textId="0C71B54E" w:rsidR="00B2386F" w:rsidRDefault="00B2386F" w:rsidP="00E96188">
      <w:pPr>
        <w:jc w:val="center"/>
        <w:rPr>
          <w:b/>
          <w:bCs/>
          <w:color w:val="7030A0"/>
          <w:sz w:val="44"/>
          <w:szCs w:val="44"/>
        </w:rPr>
      </w:pPr>
    </w:p>
    <w:p w14:paraId="01451AED" w14:textId="5326A24E" w:rsidR="00B2386F" w:rsidRDefault="00B2386F" w:rsidP="00E96188">
      <w:pPr>
        <w:jc w:val="center"/>
        <w:rPr>
          <w:b/>
          <w:bCs/>
          <w:color w:val="7030A0"/>
          <w:sz w:val="44"/>
          <w:szCs w:val="44"/>
        </w:rPr>
      </w:pPr>
    </w:p>
    <w:p w14:paraId="0C2D6AA0" w14:textId="4560245D" w:rsidR="00B2386F" w:rsidRDefault="00B2386F" w:rsidP="00E96188">
      <w:pPr>
        <w:jc w:val="center"/>
        <w:rPr>
          <w:b/>
          <w:bCs/>
          <w:color w:val="7030A0"/>
          <w:sz w:val="44"/>
          <w:szCs w:val="44"/>
        </w:rPr>
      </w:pPr>
    </w:p>
    <w:p w14:paraId="7C58AA1B" w14:textId="3A4E697E" w:rsidR="002A77BE" w:rsidRDefault="002A77BE" w:rsidP="00E96188">
      <w:pPr>
        <w:jc w:val="center"/>
        <w:rPr>
          <w:b/>
          <w:bCs/>
          <w:color w:val="7030A0"/>
          <w:sz w:val="44"/>
          <w:szCs w:val="44"/>
        </w:rPr>
      </w:pPr>
    </w:p>
    <w:p w14:paraId="6638ADA5" w14:textId="512760D9" w:rsidR="00110B8F" w:rsidRPr="00155A13" w:rsidRDefault="00110B8F" w:rsidP="00110B8F">
      <w:pPr>
        <w:rPr>
          <w:b/>
          <w:bCs/>
          <w:color w:val="7030A0"/>
        </w:rPr>
      </w:pPr>
    </w:p>
    <w:p w14:paraId="6388BCD0" w14:textId="77777777" w:rsidR="00272FD9" w:rsidRDefault="00272FD9" w:rsidP="00E96188">
      <w:pPr>
        <w:jc w:val="center"/>
        <w:rPr>
          <w:b/>
          <w:bCs/>
          <w:color w:val="7030A0"/>
          <w:sz w:val="56"/>
          <w:szCs w:val="56"/>
          <w:u w:val="single"/>
        </w:rPr>
      </w:pPr>
    </w:p>
    <w:p w14:paraId="1EF6121C" w14:textId="0BF8D179" w:rsidR="00E96188" w:rsidRDefault="00E96188" w:rsidP="00E96188">
      <w:pPr>
        <w:jc w:val="center"/>
        <w:rPr>
          <w:b/>
          <w:bCs/>
          <w:noProof/>
          <w:color w:val="7030A0"/>
          <w:sz w:val="56"/>
          <w:szCs w:val="56"/>
          <w:u w:val="single"/>
        </w:rPr>
      </w:pPr>
      <w:r w:rsidRPr="00E96188">
        <w:rPr>
          <w:b/>
          <w:bCs/>
          <w:color w:val="7030A0"/>
          <w:sz w:val="56"/>
          <w:szCs w:val="56"/>
          <w:u w:val="single"/>
        </w:rPr>
        <w:lastRenderedPageBreak/>
        <w:t>STRATEGIC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drawing>
          <wp:anchor distT="0" distB="0" distL="114300" distR="114300" simplePos="0" relativeHeight="251669504" behindDoc="0" locked="0" layoutInCell="1" allowOverlap="1" wp14:anchorId="0A3A9EC9" wp14:editId="05EA48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682" cy="127022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82" cy="127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GOAL 3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–</w:t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Kura (</w:t>
      </w:r>
      <w:r>
        <w:rPr>
          <w:b/>
          <w:bCs/>
          <w:noProof/>
          <w:color w:val="7030A0"/>
          <w:sz w:val="56"/>
          <w:szCs w:val="56"/>
          <w:u w:val="single"/>
        </w:rPr>
        <w:t>School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)</w:t>
      </w:r>
    </w:p>
    <w:p w14:paraId="6121891F" w14:textId="77777777" w:rsidR="00E96188" w:rsidRPr="00E96188" w:rsidRDefault="00E96188" w:rsidP="00E96188">
      <w:pPr>
        <w:jc w:val="center"/>
        <w:rPr>
          <w:b/>
          <w:bCs/>
          <w:noProof/>
          <w:color w:val="7030A0"/>
          <w:sz w:val="16"/>
          <w:szCs w:val="16"/>
        </w:rPr>
      </w:pPr>
    </w:p>
    <w:p w14:paraId="316B7CAA" w14:textId="06F0C2C9" w:rsidR="00E96188" w:rsidRDefault="00B2386F" w:rsidP="00E96188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 xml:space="preserve">Kaiako and </w:t>
      </w:r>
      <w:proofErr w:type="spellStart"/>
      <w:r>
        <w:rPr>
          <w:b/>
          <w:bCs/>
          <w:color w:val="7030A0"/>
          <w:sz w:val="44"/>
          <w:szCs w:val="44"/>
        </w:rPr>
        <w:t>Tauira</w:t>
      </w:r>
      <w:proofErr w:type="spellEnd"/>
      <w:r w:rsidR="00E96188" w:rsidRPr="00E96188">
        <w:rPr>
          <w:b/>
          <w:bCs/>
          <w:color w:val="7030A0"/>
          <w:sz w:val="44"/>
          <w:szCs w:val="44"/>
        </w:rPr>
        <w:t xml:space="preserve"> are able to realise their potential </w:t>
      </w:r>
    </w:p>
    <w:p w14:paraId="40192039" w14:textId="768574C8" w:rsidR="00E96188" w:rsidRDefault="00B2386F" w:rsidP="00E96188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with</w:t>
      </w:r>
      <w:r w:rsidR="00E96188" w:rsidRPr="00E96188">
        <w:rPr>
          <w:b/>
          <w:bCs/>
          <w:color w:val="7030A0"/>
          <w:sz w:val="44"/>
          <w:szCs w:val="44"/>
        </w:rPr>
        <w:t>in a safe and inclusive environment.</w:t>
      </w:r>
    </w:p>
    <w:p w14:paraId="549EF834" w14:textId="71A4D42E" w:rsidR="00E96188" w:rsidRDefault="00E96188" w:rsidP="00E96188">
      <w:pPr>
        <w:jc w:val="center"/>
        <w:rPr>
          <w:b/>
          <w:bCs/>
          <w:color w:val="7030A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96188" w14:paraId="576818BB" w14:textId="77777777" w:rsidTr="00B5680F">
        <w:tc>
          <w:tcPr>
            <w:tcW w:w="7694" w:type="dxa"/>
          </w:tcPr>
          <w:p w14:paraId="381279CB" w14:textId="77777777" w:rsidR="00E96188" w:rsidRDefault="00E96188" w:rsidP="00B5680F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Strategic Objectives</w:t>
            </w:r>
          </w:p>
        </w:tc>
        <w:tc>
          <w:tcPr>
            <w:tcW w:w="7694" w:type="dxa"/>
          </w:tcPr>
          <w:p w14:paraId="37D73DBC" w14:textId="19B08A15" w:rsidR="00E96188" w:rsidRDefault="00E96188" w:rsidP="00B5680F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202</w:t>
            </w:r>
            <w:r w:rsidR="00B2386F">
              <w:rPr>
                <w:b/>
                <w:bCs/>
                <w:color w:val="7030A0"/>
                <w:sz w:val="44"/>
                <w:szCs w:val="44"/>
              </w:rPr>
              <w:t>4/25</w:t>
            </w:r>
            <w:r>
              <w:rPr>
                <w:b/>
                <w:bCs/>
                <w:color w:val="7030A0"/>
                <w:sz w:val="44"/>
                <w:szCs w:val="44"/>
              </w:rPr>
              <w:t xml:space="preserve"> </w:t>
            </w:r>
            <w:r w:rsidR="00B2386F">
              <w:rPr>
                <w:b/>
                <w:bCs/>
                <w:color w:val="7030A0"/>
                <w:sz w:val="44"/>
                <w:szCs w:val="44"/>
              </w:rPr>
              <w:t>Impact</w:t>
            </w:r>
          </w:p>
        </w:tc>
      </w:tr>
      <w:tr w:rsidR="00E96188" w14:paraId="69850E5F" w14:textId="77777777" w:rsidTr="00B5680F">
        <w:tc>
          <w:tcPr>
            <w:tcW w:w="7694" w:type="dxa"/>
          </w:tcPr>
          <w:p w14:paraId="675E5404" w14:textId="62E30D97" w:rsidR="00E96188" w:rsidRPr="00E96188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Wellbeing for all </w:t>
            </w:r>
            <w:r w:rsidR="00B2386F">
              <w:rPr>
                <w:b/>
                <w:bCs/>
                <w:color w:val="7030A0"/>
                <w:sz w:val="28"/>
                <w:szCs w:val="28"/>
              </w:rPr>
              <w:t xml:space="preserve">Kaiako and </w:t>
            </w:r>
            <w:proofErr w:type="spellStart"/>
            <w:r w:rsidR="00B2386F">
              <w:rPr>
                <w:b/>
                <w:bCs/>
                <w:color w:val="7030A0"/>
                <w:sz w:val="28"/>
                <w:szCs w:val="28"/>
              </w:rPr>
              <w:t>Tauira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is a priority and their environment will be safe, inclusive and free from racism, discrimination and bullying. (NELP 1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>, 2</w:t>
            </w:r>
            <w:r>
              <w:rPr>
                <w:b/>
                <w:bCs/>
                <w:color w:val="7030A0"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14:paraId="322135DF" w14:textId="219C19DC" w:rsidR="00211481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Active school values programme and well-being programme is embedded across the school.</w:t>
            </w:r>
          </w:p>
          <w:p w14:paraId="28CA0741" w14:textId="6737758E" w:rsidR="00B2386F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Recognition of workplace pressures/needs and enhancement of workplace practices to support staff well-being.</w:t>
            </w:r>
          </w:p>
        </w:tc>
      </w:tr>
      <w:tr w:rsidR="00E96188" w14:paraId="0DD310F0" w14:textId="77777777" w:rsidTr="00B5680F">
        <w:tc>
          <w:tcPr>
            <w:tcW w:w="7694" w:type="dxa"/>
          </w:tcPr>
          <w:p w14:paraId="68F3A37D" w14:textId="5C704B27" w:rsidR="00272FD9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Continued upgrade and maintenance of school environment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>. (NELP 2)</w:t>
            </w:r>
          </w:p>
        </w:tc>
        <w:tc>
          <w:tcPr>
            <w:tcW w:w="7694" w:type="dxa"/>
          </w:tcPr>
          <w:p w14:paraId="2E31C917" w14:textId="5A8A1081" w:rsidR="00211481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Development of learning spaces/resources for staff and students.</w:t>
            </w:r>
          </w:p>
          <w:p w14:paraId="1E0A0EEF" w14:textId="1A016E26" w:rsidR="00B2386F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Development of outdoor spaces.</w:t>
            </w:r>
          </w:p>
          <w:p w14:paraId="65D3EA5E" w14:textId="32BC26BE" w:rsidR="00B2386F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Development/upgrade of pool facility.</w:t>
            </w:r>
          </w:p>
        </w:tc>
      </w:tr>
    </w:tbl>
    <w:p w14:paraId="5B6CDB20" w14:textId="7A1F428C" w:rsidR="00E96188" w:rsidRDefault="00E96188" w:rsidP="00E96188">
      <w:pPr>
        <w:jc w:val="center"/>
        <w:rPr>
          <w:b/>
          <w:bCs/>
          <w:color w:val="7030A0"/>
          <w:sz w:val="44"/>
          <w:szCs w:val="44"/>
        </w:rPr>
      </w:pPr>
    </w:p>
    <w:p w14:paraId="49114CCC" w14:textId="3137DE06" w:rsidR="00110B8F" w:rsidRDefault="00110B8F" w:rsidP="00110B8F">
      <w:pPr>
        <w:rPr>
          <w:b/>
          <w:bCs/>
          <w:color w:val="7030A0"/>
          <w:sz w:val="44"/>
          <w:szCs w:val="44"/>
        </w:rPr>
      </w:pPr>
    </w:p>
    <w:p w14:paraId="474D5708" w14:textId="7D10B95A" w:rsidR="00B2386F" w:rsidRDefault="00B2386F" w:rsidP="00110B8F">
      <w:pPr>
        <w:rPr>
          <w:b/>
          <w:bCs/>
          <w:color w:val="7030A0"/>
          <w:sz w:val="44"/>
          <w:szCs w:val="44"/>
        </w:rPr>
      </w:pPr>
    </w:p>
    <w:p w14:paraId="05A39DAC" w14:textId="70E47937" w:rsidR="00B2386F" w:rsidRDefault="00B2386F" w:rsidP="00110B8F">
      <w:pPr>
        <w:rPr>
          <w:b/>
          <w:bCs/>
          <w:color w:val="7030A0"/>
          <w:sz w:val="44"/>
          <w:szCs w:val="44"/>
        </w:rPr>
      </w:pPr>
    </w:p>
    <w:p w14:paraId="080B39DB" w14:textId="31B7383D" w:rsidR="00B2386F" w:rsidRDefault="00B2386F" w:rsidP="00110B8F">
      <w:pPr>
        <w:rPr>
          <w:b/>
          <w:bCs/>
          <w:color w:val="7030A0"/>
          <w:sz w:val="44"/>
          <w:szCs w:val="44"/>
        </w:rPr>
      </w:pPr>
    </w:p>
    <w:p w14:paraId="5CF5400B" w14:textId="47A6D590" w:rsidR="00B2386F" w:rsidRDefault="00B2386F" w:rsidP="00110B8F">
      <w:pPr>
        <w:rPr>
          <w:b/>
          <w:bCs/>
          <w:color w:val="7030A0"/>
          <w:sz w:val="44"/>
          <w:szCs w:val="44"/>
        </w:rPr>
      </w:pPr>
    </w:p>
    <w:p w14:paraId="665BE0E8" w14:textId="6DD01E30" w:rsidR="00B2386F" w:rsidRDefault="00B2386F" w:rsidP="00110B8F">
      <w:pPr>
        <w:rPr>
          <w:b/>
          <w:bCs/>
          <w:color w:val="7030A0"/>
          <w:sz w:val="44"/>
          <w:szCs w:val="44"/>
        </w:rPr>
      </w:pPr>
    </w:p>
    <w:p w14:paraId="64230595" w14:textId="2E99FF92" w:rsidR="00B2386F" w:rsidRDefault="00B2386F" w:rsidP="00110B8F">
      <w:pPr>
        <w:rPr>
          <w:b/>
          <w:bCs/>
          <w:color w:val="7030A0"/>
          <w:sz w:val="44"/>
          <w:szCs w:val="44"/>
        </w:rPr>
      </w:pPr>
    </w:p>
    <w:p w14:paraId="1DB4352E" w14:textId="77777777" w:rsidR="00110B8F" w:rsidRDefault="00110B8F" w:rsidP="00110B8F">
      <w:pPr>
        <w:rPr>
          <w:b/>
          <w:bCs/>
          <w:color w:val="7030A0"/>
          <w:sz w:val="44"/>
          <w:szCs w:val="44"/>
        </w:rPr>
      </w:pPr>
    </w:p>
    <w:p w14:paraId="38DA5D9D" w14:textId="25E259A6" w:rsidR="00E96188" w:rsidRDefault="00E96188" w:rsidP="00E96188">
      <w:pPr>
        <w:jc w:val="center"/>
        <w:rPr>
          <w:b/>
          <w:bCs/>
          <w:noProof/>
          <w:color w:val="7030A0"/>
          <w:sz w:val="56"/>
          <w:szCs w:val="56"/>
          <w:u w:val="single"/>
        </w:rPr>
      </w:pPr>
      <w:r w:rsidRPr="00E96188">
        <w:rPr>
          <w:b/>
          <w:bCs/>
          <w:color w:val="7030A0"/>
          <w:sz w:val="56"/>
          <w:szCs w:val="56"/>
          <w:u w:val="single"/>
        </w:rPr>
        <w:t>STRATEGIC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Pr="00E96188">
        <w:rPr>
          <w:b/>
          <w:bCs/>
          <w:noProof/>
          <w:color w:val="7030A0"/>
          <w:sz w:val="56"/>
          <w:szCs w:val="56"/>
          <w:u w:val="single"/>
        </w:rPr>
        <w:drawing>
          <wp:anchor distT="0" distB="0" distL="114300" distR="114300" simplePos="0" relativeHeight="251671552" behindDoc="0" locked="0" layoutInCell="1" allowOverlap="1" wp14:anchorId="4E0A9ED2" wp14:editId="087BB0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682" cy="127022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82" cy="127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GOAL 4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–</w:t>
      </w:r>
      <w:r>
        <w:rPr>
          <w:b/>
          <w:bCs/>
          <w:noProof/>
          <w:color w:val="7030A0"/>
          <w:sz w:val="56"/>
          <w:szCs w:val="56"/>
          <w:u w:val="single"/>
        </w:rPr>
        <w:t xml:space="preserve"> 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Hapori (</w:t>
      </w:r>
      <w:r>
        <w:rPr>
          <w:b/>
          <w:bCs/>
          <w:noProof/>
          <w:color w:val="7030A0"/>
          <w:sz w:val="56"/>
          <w:szCs w:val="56"/>
          <w:u w:val="single"/>
        </w:rPr>
        <w:t>Community</w:t>
      </w:r>
      <w:r w:rsidR="00B2386F">
        <w:rPr>
          <w:b/>
          <w:bCs/>
          <w:noProof/>
          <w:color w:val="7030A0"/>
          <w:sz w:val="56"/>
          <w:szCs w:val="56"/>
          <w:u w:val="single"/>
        </w:rPr>
        <w:t>)</w:t>
      </w:r>
    </w:p>
    <w:p w14:paraId="2C462E99" w14:textId="77777777" w:rsidR="00E96188" w:rsidRPr="00E96188" w:rsidRDefault="00E96188" w:rsidP="00E96188">
      <w:pPr>
        <w:jc w:val="center"/>
        <w:rPr>
          <w:b/>
          <w:bCs/>
          <w:noProof/>
          <w:color w:val="7030A0"/>
          <w:sz w:val="16"/>
          <w:szCs w:val="16"/>
        </w:rPr>
      </w:pPr>
    </w:p>
    <w:p w14:paraId="706282FC" w14:textId="4D0BEDF9" w:rsidR="00E96188" w:rsidRDefault="00B2386F" w:rsidP="00E96188">
      <w:pPr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Collaboration</w:t>
      </w:r>
      <w:r w:rsidR="00E96188" w:rsidRPr="00E96188">
        <w:rPr>
          <w:b/>
          <w:bCs/>
          <w:color w:val="7030A0"/>
          <w:sz w:val="44"/>
          <w:szCs w:val="44"/>
        </w:rPr>
        <w:t>.</w:t>
      </w:r>
    </w:p>
    <w:p w14:paraId="24144865" w14:textId="392A0ECD" w:rsidR="00E96188" w:rsidRDefault="00E96188" w:rsidP="00E96188">
      <w:pPr>
        <w:jc w:val="center"/>
        <w:rPr>
          <w:b/>
          <w:bCs/>
          <w:color w:val="7030A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96188" w14:paraId="533AE0B8" w14:textId="77777777" w:rsidTr="00B5680F">
        <w:tc>
          <w:tcPr>
            <w:tcW w:w="7694" w:type="dxa"/>
          </w:tcPr>
          <w:p w14:paraId="5297AF5D" w14:textId="77777777" w:rsidR="00E96188" w:rsidRDefault="00E96188" w:rsidP="00B5680F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Strategic Objectives</w:t>
            </w:r>
          </w:p>
        </w:tc>
        <w:tc>
          <w:tcPr>
            <w:tcW w:w="7694" w:type="dxa"/>
          </w:tcPr>
          <w:p w14:paraId="202F5775" w14:textId="2747DBD1" w:rsidR="00E96188" w:rsidRDefault="00E96188" w:rsidP="00B5680F">
            <w:pPr>
              <w:jc w:val="center"/>
              <w:rPr>
                <w:b/>
                <w:bCs/>
                <w:color w:val="7030A0"/>
                <w:sz w:val="44"/>
                <w:szCs w:val="44"/>
              </w:rPr>
            </w:pPr>
            <w:r>
              <w:rPr>
                <w:b/>
                <w:bCs/>
                <w:color w:val="7030A0"/>
                <w:sz w:val="44"/>
                <w:szCs w:val="44"/>
              </w:rPr>
              <w:t>202</w:t>
            </w:r>
            <w:r w:rsidR="00B2386F">
              <w:rPr>
                <w:b/>
                <w:bCs/>
                <w:color w:val="7030A0"/>
                <w:sz w:val="44"/>
                <w:szCs w:val="44"/>
              </w:rPr>
              <w:t>4/25</w:t>
            </w:r>
            <w:r>
              <w:rPr>
                <w:b/>
                <w:bCs/>
                <w:color w:val="7030A0"/>
                <w:sz w:val="44"/>
                <w:szCs w:val="44"/>
              </w:rPr>
              <w:t xml:space="preserve"> </w:t>
            </w:r>
            <w:r w:rsidR="00B2386F">
              <w:rPr>
                <w:b/>
                <w:bCs/>
                <w:color w:val="7030A0"/>
                <w:sz w:val="44"/>
                <w:szCs w:val="44"/>
              </w:rPr>
              <w:t>Impact</w:t>
            </w:r>
          </w:p>
        </w:tc>
      </w:tr>
      <w:tr w:rsidR="00E96188" w14:paraId="0FE940DE" w14:textId="77777777" w:rsidTr="00B5680F">
        <w:tc>
          <w:tcPr>
            <w:tcW w:w="7694" w:type="dxa"/>
          </w:tcPr>
          <w:p w14:paraId="14CBDC0C" w14:textId="3CB92D49" w:rsidR="00E96188" w:rsidRPr="00E96188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All stakeholders will have high aspirations for every learner/</w:t>
            </w:r>
            <w:proofErr w:type="spellStart"/>
            <w:r w:rsidR="00B2386F">
              <w:rPr>
                <w:b/>
                <w:bCs/>
                <w:color w:val="7030A0"/>
                <w:sz w:val="28"/>
                <w:szCs w:val="28"/>
              </w:rPr>
              <w:t>tauira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, and that these are supported through strong partnerships with whanau,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hāpu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and iwi in relation to learning and belonging.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 xml:space="preserve"> (NELP 1,2)</w:t>
            </w:r>
          </w:p>
        </w:tc>
        <w:tc>
          <w:tcPr>
            <w:tcW w:w="7694" w:type="dxa"/>
          </w:tcPr>
          <w:p w14:paraId="032805E0" w14:textId="77777777" w:rsid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Iwi and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hapu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are participants in decision making to best support our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tauira’s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learning journey.</w:t>
            </w:r>
          </w:p>
          <w:p w14:paraId="6BC56CBB" w14:textId="095E2395" w:rsidR="00B2386F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Whānau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hapori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are actively involved in supporting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tauira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>.</w:t>
            </w:r>
          </w:p>
        </w:tc>
      </w:tr>
      <w:tr w:rsidR="00E96188" w14:paraId="2CBB5E9F" w14:textId="77777777" w:rsidTr="00B5680F">
        <w:tc>
          <w:tcPr>
            <w:tcW w:w="7694" w:type="dxa"/>
          </w:tcPr>
          <w:p w14:paraId="026A2CBD" w14:textId="257A5901" w:rsidR="00E96188" w:rsidRPr="00E96188" w:rsidRDefault="00E96188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Our Kura will be a safe and inclusive environment for all and our school community</w:t>
            </w:r>
            <w:r w:rsidR="00B2386F">
              <w:rPr>
                <w:b/>
                <w:bCs/>
                <w:color w:val="7030A0"/>
                <w:sz w:val="28"/>
                <w:szCs w:val="28"/>
              </w:rPr>
              <w:t xml:space="preserve"> (</w:t>
            </w:r>
            <w:proofErr w:type="spellStart"/>
            <w:r w:rsidR="00B2386F">
              <w:rPr>
                <w:b/>
                <w:bCs/>
                <w:color w:val="7030A0"/>
                <w:sz w:val="28"/>
                <w:szCs w:val="28"/>
              </w:rPr>
              <w:t>hapori</w:t>
            </w:r>
            <w:proofErr w:type="spellEnd"/>
            <w:r w:rsidR="00B2386F">
              <w:rPr>
                <w:b/>
                <w:bCs/>
                <w:color w:val="7030A0"/>
                <w:sz w:val="28"/>
                <w:szCs w:val="28"/>
              </w:rPr>
              <w:t>)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is engaged and reflected in our culture, systems and processes.</w:t>
            </w:r>
            <w:r w:rsidR="00272FD9">
              <w:rPr>
                <w:b/>
                <w:bCs/>
                <w:color w:val="7030A0"/>
                <w:sz w:val="28"/>
                <w:szCs w:val="28"/>
              </w:rPr>
              <w:t xml:space="preserve"> (NELP 1,2)</w:t>
            </w:r>
          </w:p>
        </w:tc>
        <w:tc>
          <w:tcPr>
            <w:tcW w:w="7694" w:type="dxa"/>
          </w:tcPr>
          <w:p w14:paraId="3E4308F4" w14:textId="40B48091" w:rsidR="00B2386F" w:rsidRPr="00E96188" w:rsidRDefault="00B2386F" w:rsidP="00E9618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Real time communications and stronger integration/transparency with parents in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tauira’s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learning journey.</w:t>
            </w:r>
          </w:p>
        </w:tc>
      </w:tr>
    </w:tbl>
    <w:p w14:paraId="1DD350EA" w14:textId="77777777" w:rsidR="00211481" w:rsidRPr="00E96188" w:rsidRDefault="00211481" w:rsidP="00B2386F">
      <w:pPr>
        <w:rPr>
          <w:b/>
          <w:bCs/>
          <w:color w:val="7030A0"/>
          <w:sz w:val="44"/>
          <w:szCs w:val="44"/>
        </w:rPr>
      </w:pPr>
    </w:p>
    <w:sectPr w:rsidR="00211481" w:rsidRPr="00E96188" w:rsidSect="00E96188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31C"/>
    <w:multiLevelType w:val="multilevel"/>
    <w:tmpl w:val="5E00BED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947"/>
    <w:multiLevelType w:val="hybridMultilevel"/>
    <w:tmpl w:val="8DB82DD2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8EE"/>
    <w:multiLevelType w:val="hybridMultilevel"/>
    <w:tmpl w:val="186A131A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42E4"/>
    <w:multiLevelType w:val="multilevel"/>
    <w:tmpl w:val="99A005A8"/>
    <w:styleLink w:val="CurrentList3"/>
    <w:lvl w:ilvl="0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68B9"/>
    <w:multiLevelType w:val="hybridMultilevel"/>
    <w:tmpl w:val="9334DAAC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13FC"/>
    <w:multiLevelType w:val="hybridMultilevel"/>
    <w:tmpl w:val="D700B058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5B22"/>
    <w:multiLevelType w:val="hybridMultilevel"/>
    <w:tmpl w:val="D0FCDD3C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66574"/>
    <w:multiLevelType w:val="hybridMultilevel"/>
    <w:tmpl w:val="9AB6B6C6"/>
    <w:lvl w:ilvl="0" w:tplc="7A56C5E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3FE1973"/>
    <w:multiLevelType w:val="hybridMultilevel"/>
    <w:tmpl w:val="0AFA9B16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309A"/>
    <w:multiLevelType w:val="hybridMultilevel"/>
    <w:tmpl w:val="9C40C71A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2E24"/>
    <w:multiLevelType w:val="multilevel"/>
    <w:tmpl w:val="6A2480CC"/>
    <w:styleLink w:val="CurrentList2"/>
    <w:lvl w:ilvl="0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0E8"/>
    <w:multiLevelType w:val="hybridMultilevel"/>
    <w:tmpl w:val="E774E606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26D22"/>
    <w:multiLevelType w:val="hybridMultilevel"/>
    <w:tmpl w:val="B9A69F96"/>
    <w:lvl w:ilvl="0" w:tplc="08F01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85D57"/>
    <w:multiLevelType w:val="hybridMultilevel"/>
    <w:tmpl w:val="D1D8D784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414F"/>
    <w:multiLevelType w:val="hybridMultilevel"/>
    <w:tmpl w:val="499A1C28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87B07"/>
    <w:multiLevelType w:val="hybridMultilevel"/>
    <w:tmpl w:val="269A50FC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F1EC6"/>
    <w:multiLevelType w:val="hybridMultilevel"/>
    <w:tmpl w:val="6C987374"/>
    <w:lvl w:ilvl="0" w:tplc="7A56C5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55255">
    <w:abstractNumId w:val="12"/>
  </w:num>
  <w:num w:numId="2" w16cid:durableId="1965383094">
    <w:abstractNumId w:val="13"/>
  </w:num>
  <w:num w:numId="3" w16cid:durableId="1417823481">
    <w:abstractNumId w:val="0"/>
  </w:num>
  <w:num w:numId="4" w16cid:durableId="1629512174">
    <w:abstractNumId w:val="10"/>
  </w:num>
  <w:num w:numId="5" w16cid:durableId="1536965870">
    <w:abstractNumId w:val="3"/>
  </w:num>
  <w:num w:numId="6" w16cid:durableId="1860971742">
    <w:abstractNumId w:val="16"/>
  </w:num>
  <w:num w:numId="7" w16cid:durableId="2146392250">
    <w:abstractNumId w:val="7"/>
  </w:num>
  <w:num w:numId="8" w16cid:durableId="1202326772">
    <w:abstractNumId w:val="5"/>
  </w:num>
  <w:num w:numId="9" w16cid:durableId="1724523760">
    <w:abstractNumId w:val="14"/>
  </w:num>
  <w:num w:numId="10" w16cid:durableId="1771463386">
    <w:abstractNumId w:val="4"/>
  </w:num>
  <w:num w:numId="11" w16cid:durableId="828985627">
    <w:abstractNumId w:val="11"/>
  </w:num>
  <w:num w:numId="12" w16cid:durableId="1214580372">
    <w:abstractNumId w:val="1"/>
  </w:num>
  <w:num w:numId="13" w16cid:durableId="1671761873">
    <w:abstractNumId w:val="2"/>
  </w:num>
  <w:num w:numId="14" w16cid:durableId="1006248967">
    <w:abstractNumId w:val="15"/>
  </w:num>
  <w:num w:numId="15" w16cid:durableId="1750733695">
    <w:abstractNumId w:val="8"/>
  </w:num>
  <w:num w:numId="16" w16cid:durableId="613249525">
    <w:abstractNumId w:val="9"/>
  </w:num>
  <w:num w:numId="17" w16cid:durableId="412359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88"/>
    <w:rsid w:val="0000466A"/>
    <w:rsid w:val="00077EF6"/>
    <w:rsid w:val="00110B8F"/>
    <w:rsid w:val="00113313"/>
    <w:rsid w:val="00155A13"/>
    <w:rsid w:val="00211481"/>
    <w:rsid w:val="00272FD9"/>
    <w:rsid w:val="002A77BE"/>
    <w:rsid w:val="002E346A"/>
    <w:rsid w:val="00361372"/>
    <w:rsid w:val="00405A81"/>
    <w:rsid w:val="004C0E17"/>
    <w:rsid w:val="00781E84"/>
    <w:rsid w:val="007E710E"/>
    <w:rsid w:val="00820B1C"/>
    <w:rsid w:val="008677E2"/>
    <w:rsid w:val="00935B33"/>
    <w:rsid w:val="00AF02E9"/>
    <w:rsid w:val="00B2386F"/>
    <w:rsid w:val="00BD004C"/>
    <w:rsid w:val="00D54924"/>
    <w:rsid w:val="00E96188"/>
    <w:rsid w:val="00EC4241"/>
    <w:rsid w:val="00F15A6B"/>
    <w:rsid w:val="00F21F7C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227"/>
  <w15:chartTrackingRefBased/>
  <w15:docId w15:val="{B9DB1BB9-EBFD-8546-9995-C0367AB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A13"/>
    <w:pPr>
      <w:ind w:left="720"/>
      <w:contextualSpacing/>
    </w:pPr>
  </w:style>
  <w:style w:type="numbering" w:customStyle="1" w:styleId="CurrentList1">
    <w:name w:val="Current List1"/>
    <w:uiPriority w:val="99"/>
    <w:rsid w:val="00AF02E9"/>
    <w:pPr>
      <w:numPr>
        <w:numId w:val="3"/>
      </w:numPr>
    </w:pPr>
  </w:style>
  <w:style w:type="numbering" w:customStyle="1" w:styleId="CurrentList2">
    <w:name w:val="Current List2"/>
    <w:uiPriority w:val="99"/>
    <w:rsid w:val="00AF02E9"/>
    <w:pPr>
      <w:numPr>
        <w:numId w:val="4"/>
      </w:numPr>
    </w:pPr>
  </w:style>
  <w:style w:type="numbering" w:customStyle="1" w:styleId="CurrentList3">
    <w:name w:val="Current List3"/>
    <w:uiPriority w:val="99"/>
    <w:rsid w:val="00AF02E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Massey School</dc:creator>
  <cp:keywords/>
  <dc:description/>
  <cp:lastModifiedBy>Glen Massey School</cp:lastModifiedBy>
  <cp:revision>3</cp:revision>
  <cp:lastPrinted>2024-02-27T01:51:00Z</cp:lastPrinted>
  <dcterms:created xsi:type="dcterms:W3CDTF">2024-02-27T01:51:00Z</dcterms:created>
  <dcterms:modified xsi:type="dcterms:W3CDTF">2024-02-27T01:51:00Z</dcterms:modified>
</cp:coreProperties>
</file>